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AE969D" w:rsidR="00F86C4D" w:rsidRPr="0075688D" w:rsidRDefault="00D12C33" w:rsidP="007568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688D">
        <w:rPr>
          <w:rFonts w:ascii="Times New Roman" w:hAnsi="Times New Roman" w:cs="Times New Roman"/>
          <w:b/>
          <w:bCs/>
          <w:sz w:val="24"/>
          <w:szCs w:val="24"/>
        </w:rPr>
        <w:t>TEDx</w:t>
      </w:r>
      <w:proofErr w:type="spellEnd"/>
      <w:r w:rsidR="00B07229" w:rsidRPr="0075688D">
        <w:rPr>
          <w:rFonts w:ascii="Times New Roman" w:hAnsi="Times New Roman" w:cs="Times New Roman"/>
          <w:b/>
          <w:bCs/>
          <w:sz w:val="24"/>
          <w:szCs w:val="24"/>
        </w:rPr>
        <w:t xml:space="preserve"> University of </w:t>
      </w:r>
      <w:proofErr w:type="spellStart"/>
      <w:r w:rsidR="00B07229" w:rsidRPr="0075688D">
        <w:rPr>
          <w:rFonts w:ascii="Times New Roman" w:hAnsi="Times New Roman" w:cs="Times New Roman"/>
          <w:b/>
          <w:bCs/>
          <w:sz w:val="24"/>
          <w:szCs w:val="24"/>
        </w:rPr>
        <w:t>Warsaw</w:t>
      </w:r>
      <w:proofErr w:type="spellEnd"/>
      <w:r w:rsidRPr="00756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953" w:rsidRPr="0075688D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Pr="0075688D">
        <w:rPr>
          <w:rFonts w:ascii="Times New Roman" w:hAnsi="Times New Roman" w:cs="Times New Roman"/>
          <w:b/>
          <w:bCs/>
          <w:sz w:val="24"/>
          <w:szCs w:val="24"/>
        </w:rPr>
        <w:t>Q&amp;A</w:t>
      </w:r>
    </w:p>
    <w:p w14:paraId="12D5F842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right="386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0000002" w14:textId="07C8ACCD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Celem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Warsaw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jest prezentacja badań młodych badaczy i badaczek  Uniwersytetu Warszawskiego. Zaplanowane są wystąpienia 1</w:t>
      </w:r>
      <w:r w:rsidR="00932713" w:rsidRPr="0075688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osób, w tym </w:t>
      </w:r>
      <w:r w:rsidR="00932713" w:rsidRPr="007568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68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doktorantów/doktorantek. W przypadku większej liczby zgłoszeń dyrektorzy szkół  doktorskich dokonają ich wyboru, mając na względzie ukazanie jak najszerszej różnorodności badań naukowych na UW.  </w:t>
      </w:r>
    </w:p>
    <w:p w14:paraId="055A8D12" w14:textId="77777777" w:rsidR="0075688D" w:rsidRDefault="00D12C33" w:rsidP="0075688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-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Każda osoba, która zdecyduje się </w:t>
      </w:r>
      <w:r w:rsidR="00B07229" w:rsidRPr="0075688D">
        <w:rPr>
          <w:rFonts w:ascii="Times New Roman" w:eastAsia="Times New Roman" w:hAnsi="Times New Roman" w:cs="Times New Roman"/>
          <w:sz w:val="24"/>
          <w:szCs w:val="24"/>
        </w:rPr>
        <w:t>uczestniczyć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w projekcie, musi obowiązkowo wziąć udział w </w:t>
      </w:r>
      <w:r w:rsidR="007568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dwóch szkoleniach: z zakresu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storytellingu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oraz wystąpień publicznych. Szkolenia odbędą się  na terenie Uniwersytetu Warszawskiego (Kampus Główny/Kampus Powiśle). </w:t>
      </w:r>
      <w:r w:rsidR="00B07229" w:rsidRPr="0075688D">
        <w:rPr>
          <w:rFonts w:ascii="Times New Roman" w:eastAsia="Times New Roman" w:hAnsi="Times New Roman" w:cs="Times New Roman"/>
          <w:sz w:val="24"/>
          <w:szCs w:val="24"/>
        </w:rPr>
        <w:t xml:space="preserve">Dodatkowo każdy z uczestników </w:t>
      </w:r>
      <w:r w:rsidR="005E3E0E" w:rsidRPr="0075688D">
        <w:rPr>
          <w:rFonts w:ascii="Times New Roman" w:eastAsia="Times New Roman" w:hAnsi="Times New Roman" w:cs="Times New Roman"/>
          <w:sz w:val="24"/>
          <w:szCs w:val="24"/>
        </w:rPr>
        <w:t>weźmie udział</w:t>
      </w:r>
      <w:r w:rsidR="00B07229" w:rsidRPr="0075688D">
        <w:rPr>
          <w:rFonts w:ascii="Times New Roman" w:eastAsia="Times New Roman" w:hAnsi="Times New Roman" w:cs="Times New Roman"/>
          <w:sz w:val="24"/>
          <w:szCs w:val="24"/>
        </w:rPr>
        <w:t xml:space="preserve"> w dwóch indywidualnych sesjach: coachingu i konsultacji. 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Każdy prelegent  będzie </w:t>
      </w:r>
      <w:r w:rsidR="005E3E0E" w:rsidRPr="0075688D">
        <w:rPr>
          <w:rFonts w:ascii="Times New Roman" w:eastAsia="Times New Roman" w:hAnsi="Times New Roman" w:cs="Times New Roman"/>
          <w:sz w:val="24"/>
          <w:szCs w:val="24"/>
        </w:rPr>
        <w:t>zobowiązany do podpisania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oświadczeni</w:t>
      </w:r>
      <w:r w:rsidR="005E3E0E" w:rsidRPr="0075688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dot. praw autorskich na potrzeby TED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Talks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. Prelegenci </w:t>
      </w:r>
      <w:r w:rsidR="005E3E0E" w:rsidRPr="0075688D">
        <w:rPr>
          <w:rFonts w:ascii="Times New Roman" w:eastAsia="Times New Roman" w:hAnsi="Times New Roman" w:cs="Times New Roman"/>
          <w:sz w:val="24"/>
          <w:szCs w:val="24"/>
        </w:rPr>
        <w:t>są zobligowani do wyrażenia zgody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na udział w działaniach promocyjno-komunikacyjnych analogicznie do  kampanii z roku 2023</w:t>
      </w:r>
      <w:r w:rsidR="00836953" w:rsidRPr="0075688D">
        <w:rPr>
          <w:rFonts w:ascii="Times New Roman" w:eastAsia="Times New Roman" w:hAnsi="Times New Roman" w:cs="Times New Roman"/>
          <w:sz w:val="24"/>
          <w:szCs w:val="24"/>
        </w:rPr>
        <w:t xml:space="preserve"> i 2024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7" w:history="1">
        <w:r w:rsidR="00606D63" w:rsidRPr="0075688D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https://www.facebook.com/tedxuniversityofwarsaw/</w:t>
        </w:r>
      </w:hyperlink>
      <w:r w:rsidR="00606D63" w:rsidRPr="007568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954540" w14:textId="77777777" w:rsidR="0075688D" w:rsidRDefault="0075688D" w:rsidP="0075688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-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98E5B6E" w:rsidR="00F86C4D" w:rsidRDefault="00D12C33" w:rsidP="0075688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-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Prelegenci nie otrzymują żadnego wynagrodzenia ani innych gratyfikacji finansowych za  udział w projekcie. Projekt finansowany jest ze środków programu „Inicjatywa doskonałości – uczelnia badawcza”.  </w:t>
      </w:r>
    </w:p>
    <w:p w14:paraId="055640C3" w14:textId="77777777" w:rsidR="0075688D" w:rsidRPr="0075688D" w:rsidRDefault="0075688D" w:rsidP="0075688D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right="-4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2107A3E" w:rsidR="00F86C4D" w:rsidRPr="0075688D" w:rsidRDefault="0075688D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Harmonogram</w:t>
      </w:r>
      <w:r w:rsidR="00D12C33" w:rsidRPr="007568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C16C61C" w14:textId="4CF493A3" w:rsidR="00D12C33" w:rsidRPr="0075688D" w:rsidRDefault="00D12C33" w:rsidP="0083695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Przesyłanie zgłoszeń na adres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szkola.dr@uw.edu.pl 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B340C" w:rsidRPr="0075688D">
        <w:rPr>
          <w:rFonts w:ascii="Times New Roman" w:eastAsia="Times New Roman" w:hAnsi="Times New Roman" w:cs="Times New Roman"/>
          <w:b/>
          <w:sz w:val="24"/>
          <w:szCs w:val="24"/>
        </w:rPr>
        <w:t>16 maja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B340C" w:rsidRPr="0075688D">
        <w:rPr>
          <w:rFonts w:ascii="Times New Roman" w:eastAsia="Times New Roman" w:hAnsi="Times New Roman" w:cs="Times New Roman"/>
          <w:b/>
          <w:sz w:val="24"/>
          <w:szCs w:val="24"/>
        </w:rPr>
        <w:t>5 r.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do godz. </w:t>
      </w:r>
      <w:r w:rsidR="00606D63" w:rsidRPr="0075688D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06D63" w:rsidRPr="0075688D">
        <w:rPr>
          <w:rFonts w:ascii="Times New Roman" w:eastAsia="Times New Roman" w:hAnsi="Times New Roman" w:cs="Times New Roman"/>
          <w:b/>
          <w:sz w:val="24"/>
          <w:szCs w:val="24"/>
        </w:rPr>
        <w:t>59.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FB541A" w14:textId="3C51E8DA" w:rsidR="00606D63" w:rsidRPr="0075688D" w:rsidRDefault="00606D63" w:rsidP="0083695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Przygotowania do występu na </w:t>
      </w:r>
      <w:proofErr w:type="spellStart"/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obejmują:</w:t>
      </w:r>
    </w:p>
    <w:p w14:paraId="53F83A40" w14:textId="02F0C716" w:rsidR="00606D63" w:rsidRPr="0075688D" w:rsidRDefault="005E3E0E" w:rsidP="00836953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całodniowe 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>szkolenie (</w:t>
      </w:r>
      <w:r w:rsidR="00932713" w:rsidRPr="0075688D">
        <w:rPr>
          <w:rFonts w:ascii="Times New Roman" w:eastAsia="Times New Roman" w:hAnsi="Times New Roman" w:cs="Times New Roman"/>
          <w:b/>
          <w:bCs/>
          <w:sz w:val="24"/>
          <w:szCs w:val="24"/>
        </w:rPr>
        <w:t>pierwsza połowa września 2025 r.)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229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prezentacja projektu i zespołu, coaching i </w:t>
      </w:r>
      <w:proofErr w:type="spellStart"/>
      <w:r w:rsidR="00B07229" w:rsidRPr="0075688D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</w:p>
    <w:p w14:paraId="4A7633F2" w14:textId="4A905C17" w:rsidR="00606D63" w:rsidRPr="0075688D" w:rsidRDefault="005E3E0E" w:rsidP="00836953">
      <w:pPr>
        <w:pStyle w:val="Akapitzlist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szkolenia 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>indywidualne (</w:t>
      </w:r>
      <w:r w:rsidR="00932713" w:rsidRPr="0075688D">
        <w:rPr>
          <w:rFonts w:ascii="Times New Roman" w:eastAsia="Times New Roman" w:hAnsi="Times New Roman" w:cs="Times New Roman"/>
          <w:b/>
          <w:bCs/>
          <w:sz w:val="24"/>
          <w:szCs w:val="24"/>
        </w:rPr>
        <w:t>wrzesień – do 5 listopada</w:t>
      </w:r>
      <w:r w:rsidR="00FB340C" w:rsidRPr="007568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r.</w:t>
      </w:r>
      <w:r w:rsidR="0093271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) – przygotowanie 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wystąpienia w formacie </w:t>
      </w:r>
      <w:proofErr w:type="spellStart"/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>storytelling</w:t>
      </w:r>
      <w:proofErr w:type="spellEnd"/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; wystąpienia </w:t>
      </w:r>
      <w:r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publiczne 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>na scenie i przed kamerą; coaching i konsultacje</w:t>
      </w:r>
      <w:r w:rsidR="00B07229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terminy ustalane z trenerami indywidualnie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14:paraId="00000007" w14:textId="3763E487" w:rsidR="00F86C4D" w:rsidRPr="0075688D" w:rsidRDefault="00D12C33" w:rsidP="00836953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5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University of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Warsaw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6953" w:rsidRPr="007568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odbędzie się </w:t>
      </w:r>
      <w:r w:rsidR="00932713" w:rsidRPr="0075688D">
        <w:rPr>
          <w:rFonts w:ascii="Times New Roman" w:eastAsia="Times New Roman" w:hAnsi="Times New Roman" w:cs="Times New Roman"/>
          <w:b/>
          <w:sz w:val="24"/>
          <w:szCs w:val="24"/>
        </w:rPr>
        <w:t>13 listopada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32713" w:rsidRPr="0075688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r. 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(dzień wcześniej </w:t>
      </w:r>
      <w:r w:rsidR="00FB340C" w:rsidRPr="0075688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06D63" w:rsidRPr="0075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próba generalna)</w:t>
      </w:r>
      <w:r w:rsidR="00B07229" w:rsidRPr="007568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EAB47E" w14:textId="0E717BE1" w:rsidR="00B322BD" w:rsidRPr="0075688D" w:rsidRDefault="00B322BD" w:rsidP="00B322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A1A4A" w14:textId="53C6C7DD" w:rsidR="00B322BD" w:rsidRPr="0075688D" w:rsidRDefault="00B322BD" w:rsidP="00B322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CWiD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UW zastrzega sobie możliwość przesunięcia terminu wydarzenia z przyczyn niezależnych. Wydarzenie musi odbyć się najpóźniej do 5 grudnia 2025 r.</w:t>
      </w:r>
    </w:p>
    <w:p w14:paraId="0BEE3BA3" w14:textId="4D2E4895" w:rsidR="00B322BD" w:rsidRDefault="00B322BD" w:rsidP="00B322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5"/>
        <w:rPr>
          <w:rFonts w:ascii="Times New Roman" w:eastAsia="Times New Roman" w:hAnsi="Times New Roman" w:cs="Times New Roman"/>
          <w:sz w:val="24"/>
          <w:szCs w:val="24"/>
        </w:rPr>
      </w:pPr>
    </w:p>
    <w:p w14:paraId="03A34E7B" w14:textId="77777777" w:rsidR="0075688D" w:rsidRPr="0075688D" w:rsidRDefault="0075688D" w:rsidP="00B322BD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55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9C162F8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Poniżej prezentujemy streszczone w kilku punktach – na podstawie regulaminu zawartego na  stronie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-a – najważniejsze, z perspektywy prelegentów, kwestie dotyczące uczestniczenia  w wydarzeniu. </w:t>
      </w:r>
    </w:p>
    <w:p w14:paraId="5AFE7C5D" w14:textId="4313039E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E8BA8" w14:textId="7D0DF3C5" w:rsidR="00836953" w:rsidRPr="0075688D" w:rsidRDefault="00194C12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-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>Jak przygotować zgłoszenie do udziału w wydarzeniu?</w:t>
      </w:r>
    </w:p>
    <w:p w14:paraId="1B4DC414" w14:textId="62712F2A" w:rsidR="00194C12" w:rsidRPr="0075688D" w:rsidRDefault="00194C12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Każda osoba, która chce wziąć udział w projekcie, </w:t>
      </w:r>
      <w:r w:rsidR="00932713" w:rsidRPr="0075688D">
        <w:rPr>
          <w:rFonts w:ascii="Times New Roman" w:eastAsia="Times New Roman" w:hAnsi="Times New Roman" w:cs="Times New Roman"/>
          <w:bCs/>
          <w:sz w:val="24"/>
          <w:szCs w:val="24"/>
        </w:rPr>
        <w:t>wypełnia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załączony formularz. Zgłoszenia niekompletne nie będą brane pod uwagę. Oprócz formularza należy </w:t>
      </w:r>
      <w:r w:rsidR="00932713" w:rsidRPr="0075688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>łączyć krótkie</w:t>
      </w:r>
      <w:bookmarkStart w:id="0" w:name="_Hlk195353905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ok. 1,5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min. nagranie wideo</w:t>
      </w: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(może być z telefonu), gdzie zgłaszający opowie o znaczeniu swoich badań z perspektywy tzw. zwykłego Kowalskiego oraz/lub dyscypliny</w:t>
      </w:r>
      <w:r w:rsidR="00D16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D16B0E">
        <w:rPr>
          <w:rFonts w:ascii="Times New Roman" w:eastAsia="Times New Roman" w:hAnsi="Times New Roman" w:cs="Times New Roman"/>
          <w:sz w:val="24"/>
          <w:szCs w:val="24"/>
        </w:rPr>
        <w:t xml:space="preserve">oraz CV naukowe. </w:t>
      </w:r>
    </w:p>
    <w:p w14:paraId="035E3EE3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DAC508B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Jak długo może trwać wystąpienie </w:t>
      </w:r>
      <w:proofErr w:type="spellStart"/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000000A" w14:textId="694308CF" w:rsidR="00F86C4D" w:rsidRPr="0075688D" w:rsidRDefault="00125FC2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8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836953" w:rsidRPr="0075688D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D12C33" w:rsidRPr="0075688D">
        <w:rPr>
          <w:rFonts w:ascii="Times New Roman" w:eastAsia="Times New Roman" w:hAnsi="Times New Roman" w:cs="Times New Roman"/>
          <w:sz w:val="24"/>
          <w:szCs w:val="24"/>
        </w:rPr>
        <w:t xml:space="preserve"> minut</w:t>
      </w:r>
    </w:p>
    <w:p w14:paraId="79A22766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8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6" w:firstLine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Czy w trakcie wystąpienia istnieje możliwość zaprezentowania własnej książki, firmy  etc.? </w:t>
      </w:r>
    </w:p>
    <w:p w14:paraId="0000000C" w14:textId="59D30312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W sytuacji, gdy jest to uzasadnione tematyką wystąpienia, prelegenci mają pełne prawo  wspomnieć o swoich dokonaniach, pracy itd. Jednakże mówcy nie powinni wykorzystywać  sceny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do prezentowania/promowania swoich produktów lub usług, prezentowania  swoich książek lub ubiegania się o fundusze. Podczas wystąpień należy podejmować jedynie  te kwestie, które pozostają ściśle związane z przedstawianą przez prelegenta problematyką. </w:t>
      </w:r>
    </w:p>
    <w:p w14:paraId="0F29AF98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25BE7" w14:textId="77777777" w:rsidR="00606D63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59" w:right="-6"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Czy podczas wystąpień można poruszać kwestie polityczne bądź religijne? </w:t>
      </w:r>
    </w:p>
    <w:p w14:paraId="0000000D" w14:textId="519F4881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59" w:right="-6" w:firstLine="10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Polityka i kwestie społeczne są kluczowymi elementami globalnej dyskusji. Jednakże sceny 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nie są miejscem dla polityki partyjnej ani ekstremistycznych stanowisk. Mówcy nie  mogą w swoim wystąpieniu atakować ani popierać konkretnych partii, platform partyjnych i  liderów politycznych. Zabronione jest również popieranie działań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przemocowych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lub  opresyjnych. Występujący mogą szczerze mówić o swoich przekonaniach religijnych, ale nie  powinni wykorzystywać sceny do ich promowania lub piętnowania tych, którzy ich nie  podzielają. Zabronione jest również posługiwanie się polaryzującym językiem w formule „my  kontra oni”. </w:t>
      </w:r>
    </w:p>
    <w:p w14:paraId="66AD65FC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59" w:right="-6"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Jakie zagadnienia powinny zostać poruszone podczas wystąpienia? </w:t>
      </w:r>
    </w:p>
    <w:p w14:paraId="0000000F" w14:textId="252E6EAF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Wystąpienia powinny skłaniać do nieszablonowego myślenia na różnorodne tematy.  </w:t>
      </w:r>
    </w:p>
    <w:p w14:paraId="0158E5E7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Jakie wymogi powinno spełniać wystąpienie? </w:t>
      </w:r>
    </w:p>
    <w:p w14:paraId="00000011" w14:textId="2A7CEBC2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59" w:right="-2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jest platformą służącą do prezentowania i wyjaśniania realnych, popartych badaniami  postępów w nauce. Dlatego twierdzenia prelegentów powinny być oparte na danych, które  zostały zweryfikowane przez ekspertów w danej dziedzinie. Występujący mają za zadanie w  sposób przejrzysty przedstawić podstawy wszelkich swoich twierdzeń o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tematyzowanych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 faktach oraz dowody naukowe na ich poparcie. </w:t>
      </w:r>
    </w:p>
    <w:p w14:paraId="156D3969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59" w:right="-2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E6A4D" w14:textId="77777777" w:rsidR="00D12C33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right="-5" w:firstLine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Czy podczas wystąpienia można wykorzystywać materiały chronione prawem autorskim? </w:t>
      </w:r>
    </w:p>
    <w:p w14:paraId="00000012" w14:textId="5719A792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right="-5" w:firstLine="8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Treść każdego wystąpienia musi być zgodna z prawem autorskim. Prelegenci są zobowiązani  z wyprzedzeniem poinformować o wszystkich materiałach osób trzecich, które zostaną  wykorzystane w ich prezentacjach i w stosownych przypadkach uzyskać pisemną zgodę na </w:t>
      </w:r>
    </w:p>
    <w:p w14:paraId="00000013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8" w:right="-2" w:hanging="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materiały chronione prawem autorskim. W przypadku wykorzystywania materiałów na licencji  Creative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należy je podpisać imieniem i nazwiskiem autora oraz nazwą licencji z  dołączeniem informacji o źródle.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>Więcej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>temat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>praw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>autorskich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https://pb </w:t>
      </w:r>
    </w:p>
    <w:p w14:paraId="00000014" w14:textId="1A403302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119" w:firstLine="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assets.tedcdn.com/system/baubles/files/000/008/465/original/TEDx_Copyright_Guidelines_f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lastRenderedPageBreak/>
        <w:t>i</w:t>
      </w:r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nal.pdf?1588610363</w:t>
      </w:r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F1A09B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4" w:right="119" w:firstLine="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15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Jak tworzyć prezentacje? </w:t>
      </w:r>
    </w:p>
    <w:p w14:paraId="00000016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right="-5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Prezentacje nie są konieczne – jednakże, jeżeli prelegentka/prelegent zamierza w ten sposób  wzbogacić swoje wystąpieniem – warto zapoznać się z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-owymi zasadami tworzenia  slajdów.  </w:t>
      </w:r>
    </w:p>
    <w:p w14:paraId="00000017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42" w:right="-4" w:firstLine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Slajdy powinny być: przejrzyste, atrakcyjne wizualne (grafiki w wysokiej rozdzielczości),  łatwe do zrozumienia, z możliwie najmniejszą ilością tekstu. Jeden slajd powinien dotyczyć  jednego punktu wystąpienia. Jednocześnie – zbyt wiele slajdów może rozpraszać słuchaczy.  Warto więc, by poszczególne slajdy były przemyślane i służyły konkretnemu celowi. Na  slajdach należy unikać slajdów z nagłówkami i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enumeratorami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(są one nużące dla sporej części  odbiorców).  </w:t>
      </w:r>
    </w:p>
    <w:p w14:paraId="00000018" w14:textId="6FAB1BB8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Rozmiar tekstu powinien być na tyle duży, by był on czytelny dla wszystkich osób  zgromadzonych na sali. Slajdy powinny mieć proste tło. Należy na nich używać czcionki  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bezszeryfowej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5688D">
        <w:rPr>
          <w:rFonts w:ascii="Times New Roman" w:eastAsia="Times New Roman" w:hAnsi="Times New Roman" w:cs="Times New Roman"/>
          <w:sz w:val="24"/>
          <w:szCs w:val="24"/>
        </w:rPr>
        <w:t>Helvetica</w:t>
      </w:r>
      <w:proofErr w:type="spellEnd"/>
      <w:r w:rsidRPr="0075688D">
        <w:rPr>
          <w:rFonts w:ascii="Times New Roman" w:eastAsia="Times New Roman" w:hAnsi="Times New Roman" w:cs="Times New Roman"/>
          <w:sz w:val="24"/>
          <w:szCs w:val="24"/>
        </w:rPr>
        <w:t xml:space="preserve"> lub Verdana).  </w:t>
      </w:r>
    </w:p>
    <w:p w14:paraId="125351A4" w14:textId="77777777" w:rsidR="00836953" w:rsidRPr="0075688D" w:rsidRDefault="0083695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Pełny zestaw zasad </w:t>
      </w:r>
      <w:proofErr w:type="spellStart"/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>TEDx</w:t>
      </w:r>
      <w:proofErr w:type="spellEnd"/>
      <w:r w:rsidRPr="0075688D">
        <w:rPr>
          <w:rFonts w:ascii="Times New Roman" w:eastAsia="Times New Roman" w:hAnsi="Times New Roman" w:cs="Times New Roman"/>
          <w:b/>
          <w:sz w:val="24"/>
          <w:szCs w:val="24"/>
        </w:rPr>
        <w:t xml:space="preserve"> dla prelegentów znajduje się tu: </w:t>
      </w:r>
    </w:p>
    <w:p w14:paraId="0000001A" w14:textId="77777777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1" w:right="1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https://www.ted.com/participate/organize-a-local-tedx-event/before-you-start/tedx-rules#h2--</w:t>
      </w:r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pr-press-media</w:t>
      </w:r>
      <w:r w:rsidRPr="007568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1C" w14:textId="6402E96D" w:rsidR="00F86C4D" w:rsidRPr="0075688D" w:rsidRDefault="00D12C33" w:rsidP="00836953">
      <w:pPr>
        <w:widowControl w:val="0"/>
        <w:pBdr>
          <w:top w:val="nil"/>
          <w:left w:val="nil"/>
          <w:bottom w:val="nil"/>
          <w:right w:val="nil"/>
          <w:between w:val="nil"/>
        </w:pBdr>
        <w:ind w:left="362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75688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https://pbassets.tedcdn.com/system/baubles/files/000/008/468/original/tedx_content_guidelines_fact_check.pdf?1588684684</w:t>
      </w:r>
    </w:p>
    <w:sectPr w:rsidR="00F86C4D" w:rsidRPr="0075688D">
      <w:pgSz w:w="11900" w:h="16820"/>
      <w:pgMar w:top="1396" w:right="1357" w:bottom="1524" w:left="1055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A289" w14:textId="77777777" w:rsidR="003C797A" w:rsidRDefault="003C797A" w:rsidP="00606D63">
      <w:pPr>
        <w:spacing w:line="240" w:lineRule="auto"/>
      </w:pPr>
      <w:r>
        <w:separator/>
      </w:r>
    </w:p>
  </w:endnote>
  <w:endnote w:type="continuationSeparator" w:id="0">
    <w:p w14:paraId="2CEE25F2" w14:textId="77777777" w:rsidR="003C797A" w:rsidRDefault="003C797A" w:rsidP="00606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3C2" w14:textId="77777777" w:rsidR="003C797A" w:rsidRDefault="003C797A" w:rsidP="00606D63">
      <w:pPr>
        <w:spacing w:line="240" w:lineRule="auto"/>
      </w:pPr>
      <w:r>
        <w:separator/>
      </w:r>
    </w:p>
  </w:footnote>
  <w:footnote w:type="continuationSeparator" w:id="0">
    <w:p w14:paraId="1B094DC3" w14:textId="77777777" w:rsidR="003C797A" w:rsidRDefault="003C797A" w:rsidP="00606D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E2C17"/>
    <w:multiLevelType w:val="hybridMultilevel"/>
    <w:tmpl w:val="69462148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4D"/>
    <w:rsid w:val="00125FC2"/>
    <w:rsid w:val="00194C12"/>
    <w:rsid w:val="00321C73"/>
    <w:rsid w:val="003C797A"/>
    <w:rsid w:val="004A01C1"/>
    <w:rsid w:val="005B7191"/>
    <w:rsid w:val="005E3E0E"/>
    <w:rsid w:val="00606D63"/>
    <w:rsid w:val="00615B2F"/>
    <w:rsid w:val="0075688D"/>
    <w:rsid w:val="007A4424"/>
    <w:rsid w:val="00836953"/>
    <w:rsid w:val="00932713"/>
    <w:rsid w:val="00B03AD0"/>
    <w:rsid w:val="00B07229"/>
    <w:rsid w:val="00B322BD"/>
    <w:rsid w:val="00C33382"/>
    <w:rsid w:val="00D12C33"/>
    <w:rsid w:val="00D16B0E"/>
    <w:rsid w:val="00E33EC1"/>
    <w:rsid w:val="00F86C4D"/>
    <w:rsid w:val="00FB340C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4324"/>
  <w15:docId w15:val="{087A6D49-DA30-46C3-850D-7EDD531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12C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6D6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6D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6D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6D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6D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2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edxuniversityofwars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Golińska-Wapińska</dc:creator>
  <cp:lastModifiedBy>Maria Golińska-Wapińska</cp:lastModifiedBy>
  <cp:revision>5</cp:revision>
  <dcterms:created xsi:type="dcterms:W3CDTF">2025-04-09T21:17:00Z</dcterms:created>
  <dcterms:modified xsi:type="dcterms:W3CDTF">2025-04-12T10:39:00Z</dcterms:modified>
</cp:coreProperties>
</file>